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70F9" w:rsidRDefault="00C870F9">
      <w:pPr>
        <w:rPr>
          <w:rStyle w:val="fontstyle01"/>
          <w:rFonts w:ascii="Times New Roman" w:hAnsi="Times New Roman" w:cs="Times New Roman"/>
          <w:b w:val="0"/>
          <w:bCs w:val="0"/>
          <w:szCs w:val="21"/>
        </w:rPr>
      </w:pPr>
      <w:bookmarkStart w:id="0" w:name="_Hlk31007554"/>
      <w:bookmarkEnd w:id="0"/>
      <w:r w:rsidRPr="00AF228C">
        <w:rPr>
          <w:rStyle w:val="fontstyle01"/>
          <w:rFonts w:ascii="Times New Roman" w:hAnsi="Times New Roman" w:cs="Times New Roman"/>
          <w:b w:val="0"/>
          <w:bCs w:val="0"/>
          <w:szCs w:val="21"/>
        </w:rPr>
        <w:t>Supplemental</w:t>
      </w:r>
      <w:r>
        <w:rPr>
          <w:rStyle w:val="fontstyle01"/>
          <w:rFonts w:ascii="Times New Roman" w:hAnsi="Times New Roman" w:cs="Times New Roman"/>
          <w:b w:val="0"/>
          <w:bCs w:val="0"/>
          <w:szCs w:val="21"/>
        </w:rPr>
        <w:t xml:space="preserve"> Tables</w:t>
      </w:r>
    </w:p>
    <w:p w:rsidR="00C870F9" w:rsidRDefault="00C870F9" w:rsidP="00C870F9">
      <w:r w:rsidRPr="00C870F9">
        <w:rPr>
          <w:rStyle w:val="fontstyle01"/>
          <w:rFonts w:ascii="Times New Roman" w:hAnsi="Times New Roman" w:cs="Times New Roman"/>
          <w:b w:val="0"/>
          <w:bCs w:val="0"/>
        </w:rPr>
        <w:t>Supplemental</w:t>
      </w:r>
      <w:r>
        <w:rPr>
          <w:rFonts w:ascii="Times New Roman" w:eastAsia="Times New Roman" w:hAnsi="Times New Roman" w:cs="Times New Roman"/>
          <w:color w:val="000000"/>
          <w:sz w:val="20"/>
          <w:szCs w:val="20"/>
        </w:rPr>
        <w:t xml:space="preserve"> table 1. Descriptions of genes</w:t>
      </w:r>
      <w:r>
        <w:rPr>
          <w:rFonts w:ascii="Times New Roman" w:eastAsia="Times New Roman" w:hAnsi="Times New Roman" w:cs="Times New Roman"/>
          <w:color w:val="000000"/>
          <w:sz w:val="20"/>
          <w:szCs w:val="20"/>
        </w:rPr>
        <w:t xml:space="preserve"> by </w:t>
      </w:r>
      <w:r>
        <w:rPr>
          <w:rStyle w:val="fontstyle01"/>
          <w:rFonts w:ascii="Times New Roman" w:hAnsi="Times New Roman" w:cs="Times New Roman"/>
          <w:b w:val="0"/>
          <w:bCs w:val="0"/>
        </w:rPr>
        <w:t>STRING database</w:t>
      </w:r>
      <w:r>
        <w:rPr>
          <w:rFonts w:ascii="Times New Roman" w:eastAsia="Times New Roman" w:hAnsi="Times New Roman" w:cs="Times New Roman"/>
          <w:color w:val="000000"/>
          <w:sz w:val="20"/>
          <w:szCs w:val="20"/>
        </w:rPr>
        <w:t xml:space="preserve"> in the cluster 1</w:t>
      </w:r>
      <w:r>
        <w:rPr>
          <w:rFonts w:ascii="Times New Roman" w:eastAsia="Times New Roman" w:hAnsi="Times New Roman" w:cs="Times New Roman"/>
          <w:color w:val="000000"/>
          <w:sz w:val="20"/>
          <w:szCs w:val="20"/>
        </w:rPr>
        <w:t xml:space="preserve"> </w:t>
      </w:r>
    </w:p>
    <w:tbl>
      <w:tblPr>
        <w:tblW w:w="0" w:type="auto"/>
        <w:tblLook w:val="04A0" w:firstRow="1" w:lastRow="0" w:firstColumn="1" w:lastColumn="0" w:noHBand="0" w:noVBand="1"/>
      </w:tblPr>
      <w:tblGrid>
        <w:gridCol w:w="729"/>
        <w:gridCol w:w="7577"/>
      </w:tblGrid>
      <w:tr w:rsidR="00C870F9" w:rsidRPr="00C870F9" w:rsidTr="00C870F9">
        <w:trPr>
          <w:cantSplit/>
          <w:trHeight w:hRule="exact" w:val="389"/>
          <w:tblHeader/>
        </w:trPr>
        <w:tc>
          <w:tcPr>
            <w:tcW w:w="0" w:type="auto"/>
            <w:tcBorders>
              <w:top w:val="single" w:sz="10" w:space="0" w:color="000000"/>
              <w:bottom w:val="single" w:sz="10" w:space="0" w:color="000000"/>
            </w:tcBorders>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b/>
                <w:color w:val="000000"/>
                <w:sz w:val="16"/>
                <w:szCs w:val="16"/>
              </w:rPr>
              <w:t>Protein</w:t>
            </w:r>
          </w:p>
        </w:tc>
        <w:tc>
          <w:tcPr>
            <w:tcW w:w="0" w:type="auto"/>
            <w:tcBorders>
              <w:top w:val="single" w:sz="10" w:space="0" w:color="000000"/>
              <w:bottom w:val="single" w:sz="10" w:space="0" w:color="000000"/>
            </w:tcBorders>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b/>
                <w:color w:val="000000"/>
                <w:sz w:val="16"/>
                <w:szCs w:val="16"/>
              </w:rPr>
              <w:t>Description</w:t>
            </w:r>
          </w:p>
        </w:tc>
      </w:tr>
      <w:tr w:rsidR="00C870F9" w:rsidRPr="00C870F9" w:rsidTr="00C870F9">
        <w:trPr>
          <w:cantSplit/>
          <w:trHeight w:hRule="exact" w:val="1358"/>
        </w:trPr>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ALB</w:t>
            </w:r>
          </w:p>
        </w:tc>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Serum albumin; Serum albumin, the main protein of plasma, has a good binding capacity for water, Ca(2+), Na(+), K(+), fatty acids, hormones, bilirubin and drugs. Its main function is the regulation of the colloidal osmotic pressure of blood. Major zinc transporter in plasma, typically binds about 80% of all plasma zinc; Belongs to the ALB/AFP/VDB family.</w:t>
            </w:r>
          </w:p>
        </w:tc>
      </w:tr>
      <w:tr w:rsidR="00C870F9" w:rsidRPr="00C870F9" w:rsidTr="00C870F9">
        <w:trPr>
          <w:cantSplit/>
          <w:trHeight w:hRule="exact" w:val="1509"/>
        </w:trPr>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ATF3</w:t>
            </w:r>
          </w:p>
        </w:tc>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Cyclic AMP-dependent transcription factor ATF-3; This protein binds the cAMP response element (CRE) (consensus: 5'-GTGACGT[AC][AG]-3'), a sequence present in many viral and cellular promoters. Represses transcription from promoters with ATF sites. It may repress transcription by stabilizing the binding of inhibitory cofactors at the promoter. Isoform 2 activates transcription presumably by sequestering inhibitory cofactors away from the promoters; Basic leucine zipper proteins</w:t>
            </w:r>
          </w:p>
        </w:tc>
      </w:tr>
      <w:tr w:rsidR="00C870F9" w:rsidRPr="00C870F9" w:rsidTr="00C870F9">
        <w:trPr>
          <w:cantSplit/>
          <w:trHeight w:hRule="exact" w:val="992"/>
        </w:trPr>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DUSP1</w:t>
            </w:r>
          </w:p>
        </w:tc>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Mitogen-activated protein kinase phosphatase 1; Dual specificity phosphatase that dephosphorylates MAP kinase MAPK1/ERK2 on both 'Thr-183' and 'Tyr-185', regulating its activity during the meiotic cell cycle; Belongs to the protein-tyrosine phosphatase family. Non-receptor class dual specificity subfamily.</w:t>
            </w:r>
          </w:p>
        </w:tc>
      </w:tr>
      <w:tr w:rsidR="00C870F9" w:rsidRPr="00C870F9" w:rsidTr="00C870F9">
        <w:trPr>
          <w:cantSplit/>
          <w:trHeight w:hRule="exact" w:val="1558"/>
        </w:trPr>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NR4A1</w:t>
            </w:r>
          </w:p>
        </w:tc>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Nuclear receptor subfamily 4, group A, member 1; Orphan nuclear receptor. May act concomitantly with NURR1 in regulating the expression of delayed-early genes during liver regeneration. Binds the NGFI-B response element (NBRE) 5'- AAAAGGTCA-3' (By similarity). May inhibit NF-kappa-B transactivation of IL2. Participates in energy homeostasis by sequestrating the kinase STK11 in the nucleus, thereby attenuating cytoplasmic AMPK activation; Nuclear hormone receptors</w:t>
            </w:r>
          </w:p>
        </w:tc>
      </w:tr>
      <w:tr w:rsidR="00C870F9" w:rsidRPr="00C870F9" w:rsidTr="00C870F9">
        <w:trPr>
          <w:cantSplit/>
          <w:trHeight w:hRule="exact" w:val="574"/>
        </w:trPr>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FOSB</w:t>
            </w:r>
          </w:p>
        </w:tc>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FBJ murine osteosarcoma viral oncogene homolog B; FosB interacts with Jun proteins enhancing their DNA binding activity; Belongs to the bZIP family. Fos subfamily.</w:t>
            </w:r>
          </w:p>
        </w:tc>
      </w:tr>
      <w:tr w:rsidR="00C870F9" w:rsidRPr="00C870F9" w:rsidTr="00C870F9">
        <w:trPr>
          <w:cantSplit/>
          <w:trHeight w:hRule="exact" w:val="994"/>
        </w:trPr>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TIMP3</w:t>
            </w:r>
          </w:p>
        </w:tc>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Tissue inhibitor of metalloproteinases 3; Complexes with metalloproteinases (such as collagenases) and irreversibly inactivates them by binding to their catalytic zinc cofactor. May form part of a tissue-specific acute response to remodeling stimuli. Known to act on MMP-1, MMP-2, MMP-3, MMP-7, MMP-9, MMP-13, MMP-14 and MMP-15.</w:t>
            </w:r>
          </w:p>
        </w:tc>
      </w:tr>
      <w:tr w:rsidR="00C870F9" w:rsidRPr="00C870F9" w:rsidTr="00C870F9">
        <w:trPr>
          <w:cantSplit/>
          <w:trHeight w:hRule="exact" w:val="710"/>
        </w:trPr>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JUNB</w:t>
            </w:r>
          </w:p>
        </w:tc>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Transcription factor jun-B; Transcription factor involved in regulating gene activity following the primary growth factor response. Binds to the DNA sequence 5'-TGA[CG]TCA-3'; Belongs to the bZIP family. Jun subfamily.</w:t>
            </w:r>
          </w:p>
        </w:tc>
      </w:tr>
      <w:tr w:rsidR="00C870F9" w:rsidRPr="00C870F9" w:rsidTr="00C870F9">
        <w:trPr>
          <w:cantSplit/>
          <w:trHeight w:hRule="exact" w:val="650"/>
        </w:trPr>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MMP7</w:t>
            </w:r>
          </w:p>
        </w:tc>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Matrix metallopeptidase 7 (matrilysin, uterine); Degrades casein, gelatins of types I, III, IV, and V, and fibronectin. Activates procollagenase; M10 matrix metallopeptidases</w:t>
            </w:r>
          </w:p>
        </w:tc>
      </w:tr>
      <w:tr w:rsidR="00C870F9" w:rsidRPr="00C870F9" w:rsidTr="00C870F9">
        <w:trPr>
          <w:cantSplit/>
          <w:trHeight w:hRule="exact" w:val="1197"/>
        </w:trPr>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HBEGF</w:t>
            </w:r>
          </w:p>
        </w:tc>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Proheparin-binding EGF-like growth factor; Growth factor that mediates its effects via EGFR, ERBB2 and ERBB4. Required for normal cardiac valve formation and normal heart function. Promotes smooth muscle cell proliferation. May be involved in macrophage-mediated cellular proliferation. It is mitogenic for fibroblasts, but not endothelial cells. It is able to bind EGF receptor/EGFR with higher affinity than EGF itself and is a far more potent mitogen for smooth muscle cells than EGF. Also acts as a diphtheria toxin receptor.</w:t>
            </w:r>
          </w:p>
        </w:tc>
      </w:tr>
      <w:tr w:rsidR="00C870F9" w:rsidRPr="00C870F9" w:rsidTr="00C870F9">
        <w:trPr>
          <w:cantSplit/>
          <w:trHeight w:hRule="exact" w:val="704"/>
        </w:trPr>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GADD45B</w:t>
            </w:r>
          </w:p>
        </w:tc>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Growth arrest and DNA damage-inducible protein GADD45 beta; Involved in the regulation of growth and apoptosis. Mediates activation of stress-responsive MTK1/MEKK4 MAPKKK.</w:t>
            </w:r>
          </w:p>
        </w:tc>
      </w:tr>
      <w:tr w:rsidR="00C870F9" w:rsidRPr="00C870F9" w:rsidTr="00C870F9">
        <w:trPr>
          <w:cantSplit/>
          <w:trHeight w:hRule="exact" w:val="856"/>
        </w:trPr>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POSTN</w:t>
            </w:r>
          </w:p>
        </w:tc>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Periostin, osteoblast specific factor; Induces cell attachment and spreading and plays a role in cell adhesion. Enhances incorporation of BMP1 in the fibronectin matrix of connective tissues, and subsequent proteolytic activation of lysyl oxidase LOX (By similarity); Gla domain containing</w:t>
            </w:r>
          </w:p>
        </w:tc>
      </w:tr>
      <w:tr w:rsidR="00C870F9" w:rsidRPr="00C870F9" w:rsidTr="00C870F9">
        <w:trPr>
          <w:cantSplit/>
          <w:trHeight w:hRule="exact" w:val="414"/>
        </w:trPr>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JUND</w:t>
            </w:r>
          </w:p>
        </w:tc>
        <w:tc>
          <w:tcPr>
            <w:tcW w:w="0" w:type="auto"/>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Transcription factor jun-D; Transcription factor binding AP-1 sites; Belongs to the bZIP family. Jun subfamily.</w:t>
            </w:r>
          </w:p>
        </w:tc>
      </w:tr>
      <w:tr w:rsidR="00C870F9" w:rsidRPr="00C870F9" w:rsidTr="00C870F9">
        <w:trPr>
          <w:cantSplit/>
          <w:trHeight w:hRule="exact" w:val="944"/>
        </w:trPr>
        <w:tc>
          <w:tcPr>
            <w:tcW w:w="0" w:type="auto"/>
            <w:tcBorders>
              <w:bottom w:val="single" w:sz="10" w:space="0" w:color="000000"/>
            </w:tcBorders>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COL3A1</w:t>
            </w:r>
          </w:p>
        </w:tc>
        <w:tc>
          <w:tcPr>
            <w:tcW w:w="0" w:type="auto"/>
            <w:tcBorders>
              <w:bottom w:val="single" w:sz="10" w:space="0" w:color="000000"/>
            </w:tcBorders>
            <w:shd w:val="clear" w:color="auto" w:fill="FFFFFF"/>
            <w:tcMar>
              <w:top w:w="0" w:type="dxa"/>
              <w:left w:w="0" w:type="dxa"/>
              <w:bottom w:w="0" w:type="dxa"/>
              <w:right w:w="0" w:type="dxa"/>
            </w:tcMar>
            <w:vAlign w:val="center"/>
          </w:tcPr>
          <w:p w:rsidR="00C870F9" w:rsidRPr="00C870F9" w:rsidRDefault="00C870F9" w:rsidP="00C870F9">
            <w:pPr>
              <w:rPr>
                <w:sz w:val="16"/>
                <w:szCs w:val="16"/>
              </w:rPr>
            </w:pPr>
            <w:r w:rsidRPr="00C870F9">
              <w:rPr>
                <w:rFonts w:ascii="Times New Roman" w:eastAsia="Times New Roman" w:hAnsi="Times New Roman" w:cs="Times New Roman"/>
                <w:color w:val="000000"/>
                <w:sz w:val="16"/>
                <w:szCs w:val="16"/>
              </w:rPr>
              <w:t>Collagen alpha-1(III) chain; Collagen type III occurs in most soft connective tissues along with type I collagen. Involved in regulation of cortical development. Is the major ligand of ADGRG1 in the developing brain and binding to ADGRG1 inhibits neuronal migration and activates the RhoA pathway by coupling ADGRG1 to GNA13 and possibly GNA12.</w:t>
            </w:r>
          </w:p>
        </w:tc>
      </w:tr>
    </w:tbl>
    <w:p w:rsidR="00C870F9" w:rsidRDefault="00C870F9" w:rsidP="00C870F9">
      <w:pPr>
        <w:rPr>
          <w:rStyle w:val="fontstyle01"/>
          <w:rFonts w:ascii="Times New Roman" w:hAnsi="Times New Roman" w:cs="Times New Roman"/>
          <w:b w:val="0"/>
          <w:bCs w:val="0"/>
        </w:rPr>
      </w:pPr>
    </w:p>
    <w:p w:rsidR="00C870F9" w:rsidRDefault="00C870F9" w:rsidP="00C870F9">
      <w:r w:rsidRPr="00C870F9">
        <w:rPr>
          <w:rStyle w:val="fontstyle01"/>
          <w:rFonts w:ascii="Times New Roman" w:hAnsi="Times New Roman" w:cs="Times New Roman"/>
          <w:b w:val="0"/>
          <w:bCs w:val="0"/>
        </w:rPr>
        <w:lastRenderedPageBreak/>
        <w:t>Supplemental</w:t>
      </w:r>
      <w:r>
        <w:rPr>
          <w:rFonts w:ascii="Times New Roman" w:eastAsia="Times New Roman" w:hAnsi="Times New Roman" w:cs="Times New Roman"/>
          <w:color w:val="000000"/>
          <w:sz w:val="20"/>
          <w:szCs w:val="20"/>
        </w:rPr>
        <w:t xml:space="preserve"> table 2. Description of genes</w:t>
      </w:r>
      <w:r w:rsidRPr="00C870F9">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 xml:space="preserve">by </w:t>
      </w:r>
      <w:r>
        <w:rPr>
          <w:rStyle w:val="fontstyle01"/>
          <w:rFonts w:ascii="Times New Roman" w:hAnsi="Times New Roman" w:cs="Times New Roman"/>
          <w:b w:val="0"/>
          <w:bCs w:val="0"/>
        </w:rPr>
        <w:t>STRING database</w:t>
      </w:r>
      <w:r>
        <w:rPr>
          <w:rFonts w:ascii="Times New Roman" w:eastAsia="Times New Roman" w:hAnsi="Times New Roman" w:cs="Times New Roman"/>
          <w:color w:val="000000"/>
          <w:sz w:val="20"/>
          <w:szCs w:val="20"/>
        </w:rPr>
        <w:t xml:space="preserve"> in the cluster 2</w:t>
      </w:r>
    </w:p>
    <w:tbl>
      <w:tblPr>
        <w:tblW w:w="0" w:type="auto"/>
        <w:jc w:val="center"/>
        <w:tblLook w:val="04A0" w:firstRow="1" w:lastRow="0" w:firstColumn="1" w:lastColumn="0" w:noHBand="0" w:noVBand="1"/>
      </w:tblPr>
      <w:tblGrid>
        <w:gridCol w:w="729"/>
        <w:gridCol w:w="7577"/>
      </w:tblGrid>
      <w:tr w:rsidR="00C870F9" w:rsidRPr="00C870F9" w:rsidTr="00AF07E0">
        <w:trPr>
          <w:cantSplit/>
          <w:trHeight w:hRule="exact" w:val="501"/>
          <w:tblHeader/>
          <w:jc w:val="center"/>
        </w:trPr>
        <w:tc>
          <w:tcPr>
            <w:tcW w:w="0" w:type="auto"/>
            <w:tcBorders>
              <w:top w:val="single" w:sz="10" w:space="0" w:color="000000"/>
              <w:bottom w:val="single" w:sz="10" w:space="0" w:color="000000"/>
            </w:tcBorders>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b/>
                <w:color w:val="000000"/>
                <w:sz w:val="16"/>
                <w:szCs w:val="16"/>
              </w:rPr>
              <w:t>Protein</w:t>
            </w:r>
          </w:p>
        </w:tc>
        <w:tc>
          <w:tcPr>
            <w:tcW w:w="0" w:type="auto"/>
            <w:tcBorders>
              <w:top w:val="single" w:sz="10" w:space="0" w:color="000000"/>
              <w:bottom w:val="single" w:sz="10" w:space="0" w:color="000000"/>
            </w:tcBorders>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b/>
                <w:color w:val="000000"/>
                <w:sz w:val="16"/>
                <w:szCs w:val="16"/>
              </w:rPr>
              <w:t>Description</w:t>
            </w:r>
          </w:p>
        </w:tc>
      </w:tr>
      <w:tr w:rsidR="00C870F9" w:rsidRPr="00C870F9" w:rsidTr="00AF07E0">
        <w:trPr>
          <w:cantSplit/>
          <w:trHeight w:hRule="exact" w:val="632"/>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FN1</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Fibronectin type III domain containing; Endogenous ligands</w:t>
            </w:r>
          </w:p>
        </w:tc>
      </w:tr>
      <w:tr w:rsidR="00C870F9" w:rsidRPr="00C870F9" w:rsidTr="00AF07E0">
        <w:trPr>
          <w:cantSplit/>
          <w:trHeight w:hRule="exact" w:val="1537"/>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CCL2</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Monocyte chemotactic and activating factor; Chemotactic factor that attracts monocytes and basophils but not neutrophils or eosinophils. Augments monocyte anti-tumor activity. Has been implicated in the pathogenesis of diseases characterized by monocytic infiltrates, like psoriasis, rheumatoid arthritis or atherosclerosis. May be involved in the recruitment of monocytes into the arterial wall during the disease process of atherosclerosis; Belongs to the intercrine beta (chemokine CC) family.</w:t>
            </w:r>
          </w:p>
        </w:tc>
      </w:tr>
      <w:tr w:rsidR="00C870F9" w:rsidRPr="00C870F9" w:rsidTr="00AF07E0">
        <w:trPr>
          <w:cantSplit/>
          <w:trHeight w:hRule="exact" w:val="991"/>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SERPINE1</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Serpin peptidase inhibitor, clade E (nexin, plasminogen activator inhibitor type 1), member 1; Serine protease inhibitor. This inhibitor acts as 'bait' for tissue plasminogen activator, urokinase, protein C and matriptase-3/TMPRSS7. Its rapid interaction with PLAT may function as a major control point in the regulation of fibrinolysis; Serpin peptidase inhibitors</w:t>
            </w:r>
          </w:p>
        </w:tc>
      </w:tr>
      <w:tr w:rsidR="00C870F9" w:rsidRPr="00C870F9" w:rsidTr="00AF07E0">
        <w:trPr>
          <w:cantSplit/>
          <w:trHeight w:hRule="exact" w:val="1275"/>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CTGF</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Hypertrophic chondrocyte-specific protein 24; Major connective tissue mitoattractant secreted by vascular endothelial cells. Promotes proliferation and differentiation of chondrocytes. Mediates heparin- and divalent cation-dependent cell adhesion in many cell types including fibroblasts, myofibroblasts, endothelial and epithelial cells. Enhances fibroblast growth factor-induced DNA synthesis; Belongs to the CCN family.</w:t>
            </w:r>
          </w:p>
        </w:tc>
      </w:tr>
      <w:tr w:rsidR="00C870F9" w:rsidRPr="00C870F9" w:rsidTr="00AF07E0">
        <w:trPr>
          <w:cantSplit/>
          <w:trHeight w:hRule="exact" w:val="982"/>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LDLR</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Low density lipoprotein receptor; Binds LDL, the major cholesterol-carrying lipoprotein of plasma, and transports it into cells by endocytosis. In order to be internalized, the receptor-ligand complexes must first cluster into clathrin-coated pits; Belongs to the LDLR family.</w:t>
            </w:r>
          </w:p>
        </w:tc>
      </w:tr>
      <w:tr w:rsidR="00C870F9" w:rsidRPr="00C870F9" w:rsidTr="00AF07E0">
        <w:trPr>
          <w:cantSplit/>
          <w:trHeight w:hRule="exact" w:val="2130"/>
          <w:jc w:val="center"/>
        </w:trPr>
        <w:tc>
          <w:tcPr>
            <w:tcW w:w="0" w:type="auto"/>
            <w:tcBorders>
              <w:bottom w:val="single" w:sz="10" w:space="0" w:color="000000"/>
            </w:tcBorders>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ZEB1</w:t>
            </w:r>
          </w:p>
        </w:tc>
        <w:tc>
          <w:tcPr>
            <w:tcW w:w="0" w:type="auto"/>
            <w:tcBorders>
              <w:bottom w:val="single" w:sz="10" w:space="0" w:color="000000"/>
            </w:tcBorders>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Zinc finger E-box binding homeobox 1; Acts as a transcriptional repressor. Inhibits interleukin-2 (IL-2) gene expression. Enhances or represses the promoter activity of the ATP1A1 gene depending on the quantity of cDNA and on the cell type. Represses E-cadherin promoter and induces an epithelial-mesenchymal transition (EMT) by recruiting SMARCA4/BRG1. Represses BCL6 transcription in the presence of the corepressor CTBP1. Positively regulates neuronal differentiation. Represses RCOR1 transcription activation during neurogenesis. Represses transcription by binding to the E box (5'-CANNTG-3'). Promotes tumorigenicity by repressing stemness-inhibiting microRNAs; ZF class homeoboxes and pseudogenes</w:t>
            </w:r>
          </w:p>
        </w:tc>
      </w:tr>
    </w:tbl>
    <w:p w:rsidR="00C870F9" w:rsidRDefault="00C870F9" w:rsidP="00C870F9"/>
    <w:p w:rsidR="00C870F9" w:rsidRDefault="00C870F9" w:rsidP="00C870F9">
      <w:r w:rsidRPr="00C870F9">
        <w:rPr>
          <w:rStyle w:val="fontstyle01"/>
          <w:rFonts w:ascii="Times New Roman" w:hAnsi="Times New Roman" w:cs="Times New Roman"/>
          <w:b w:val="0"/>
          <w:bCs w:val="0"/>
        </w:rPr>
        <w:t>Supplemental</w:t>
      </w:r>
      <w:r w:rsidRPr="00C870F9">
        <w:rPr>
          <w:rFonts w:ascii="Times New Roman" w:eastAsia="Times New Roman" w:hAnsi="Times New Roman" w:cs="Times New Roman"/>
          <w:b/>
          <w:bCs/>
          <w:color w:val="000000"/>
          <w:sz w:val="20"/>
          <w:szCs w:val="20"/>
        </w:rPr>
        <w:t xml:space="preserve"> </w:t>
      </w:r>
      <w:r>
        <w:rPr>
          <w:rFonts w:ascii="Times New Roman" w:eastAsia="Times New Roman" w:hAnsi="Times New Roman" w:cs="Times New Roman"/>
          <w:color w:val="000000"/>
          <w:sz w:val="20"/>
          <w:szCs w:val="20"/>
        </w:rPr>
        <w:t>table 3. Description of genes</w:t>
      </w:r>
      <w:r w:rsidRPr="00C870F9">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 xml:space="preserve">by </w:t>
      </w:r>
      <w:r>
        <w:rPr>
          <w:rStyle w:val="fontstyle01"/>
          <w:rFonts w:ascii="Times New Roman" w:hAnsi="Times New Roman" w:cs="Times New Roman"/>
          <w:b w:val="0"/>
          <w:bCs w:val="0"/>
        </w:rPr>
        <w:t>STRING database</w:t>
      </w:r>
      <w:r>
        <w:rPr>
          <w:rFonts w:ascii="Times New Roman" w:eastAsia="Times New Roman" w:hAnsi="Times New Roman" w:cs="Times New Roman"/>
          <w:color w:val="000000"/>
          <w:sz w:val="20"/>
          <w:szCs w:val="20"/>
        </w:rPr>
        <w:t xml:space="preserve"> in the cluster 3</w:t>
      </w:r>
    </w:p>
    <w:tbl>
      <w:tblPr>
        <w:tblW w:w="0" w:type="auto"/>
        <w:jc w:val="center"/>
        <w:tblLook w:val="04A0" w:firstRow="1" w:lastRow="0" w:firstColumn="1" w:lastColumn="0" w:noHBand="0" w:noVBand="1"/>
      </w:tblPr>
      <w:tblGrid>
        <w:gridCol w:w="504"/>
        <w:gridCol w:w="7802"/>
      </w:tblGrid>
      <w:tr w:rsidR="00C870F9" w:rsidRPr="00C870F9" w:rsidTr="00C870F9">
        <w:trPr>
          <w:cantSplit/>
          <w:trHeight w:hRule="exact" w:val="368"/>
          <w:tblHeader/>
          <w:jc w:val="center"/>
        </w:trPr>
        <w:tc>
          <w:tcPr>
            <w:tcW w:w="0" w:type="auto"/>
            <w:tcBorders>
              <w:top w:val="single" w:sz="10" w:space="0" w:color="000000"/>
              <w:bottom w:val="single" w:sz="10" w:space="0" w:color="000000"/>
            </w:tcBorders>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b/>
                <w:color w:val="000000"/>
                <w:sz w:val="16"/>
                <w:szCs w:val="16"/>
              </w:rPr>
              <w:t>Protein</w:t>
            </w:r>
          </w:p>
        </w:tc>
        <w:tc>
          <w:tcPr>
            <w:tcW w:w="0" w:type="auto"/>
            <w:tcBorders>
              <w:top w:val="single" w:sz="10" w:space="0" w:color="000000"/>
              <w:bottom w:val="single" w:sz="10" w:space="0" w:color="000000"/>
            </w:tcBorders>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b/>
                <w:color w:val="000000"/>
                <w:sz w:val="16"/>
                <w:szCs w:val="16"/>
              </w:rPr>
              <w:t>Description</w:t>
            </w:r>
          </w:p>
        </w:tc>
      </w:tr>
      <w:tr w:rsidR="00C870F9" w:rsidRPr="00C870F9" w:rsidTr="00C870F9">
        <w:trPr>
          <w:cantSplit/>
          <w:trHeight w:hRule="exact" w:val="853"/>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LYZ</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1,4-beta-N-acetylmuramidase C; Lysozymes have primarily a bacteriolytic function; those in tissues and body fluids are associated with the monocyte- macrophage system and enhance the activity of immunoagents; Lysozymes, c-type</w:t>
            </w:r>
          </w:p>
        </w:tc>
      </w:tr>
      <w:tr w:rsidR="00C870F9" w:rsidRPr="00C870F9" w:rsidTr="00C870F9">
        <w:trPr>
          <w:cantSplit/>
          <w:trHeight w:hRule="exact" w:val="684"/>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HBB</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Hemoglobin subunit beta; Involved in oxygen transport from the lung to the various peripheral tissues; Belongs to the globin family.</w:t>
            </w:r>
          </w:p>
        </w:tc>
      </w:tr>
      <w:tr w:rsidR="00C870F9" w:rsidRPr="00C870F9" w:rsidTr="00C870F9">
        <w:trPr>
          <w:cantSplit/>
          <w:trHeight w:hRule="exact" w:val="424"/>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HBA2</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Hemoglobin, alpha 2; Involved in oxygen transport from the lung to the various peripheral tissues; Hemoglobin subunits</w:t>
            </w:r>
          </w:p>
        </w:tc>
      </w:tr>
      <w:tr w:rsidR="00C870F9" w:rsidRPr="00C870F9" w:rsidTr="00C870F9">
        <w:trPr>
          <w:cantSplit/>
          <w:trHeight w:hRule="exact" w:val="808"/>
          <w:jc w:val="center"/>
        </w:trPr>
        <w:tc>
          <w:tcPr>
            <w:tcW w:w="0" w:type="auto"/>
            <w:tcBorders>
              <w:bottom w:val="single" w:sz="10" w:space="0" w:color="000000"/>
            </w:tcBorders>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HBA1</w:t>
            </w:r>
          </w:p>
        </w:tc>
        <w:tc>
          <w:tcPr>
            <w:tcW w:w="0" w:type="auto"/>
            <w:tcBorders>
              <w:bottom w:val="single" w:sz="10" w:space="0" w:color="000000"/>
            </w:tcBorders>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Hemoglobin subunit alpha; Involved in oxygen transport from the lung to the various peripheral tissues; Belongs to the globin family.</w:t>
            </w:r>
          </w:p>
        </w:tc>
      </w:tr>
    </w:tbl>
    <w:p w:rsidR="00C870F9" w:rsidRDefault="00C870F9" w:rsidP="00C870F9"/>
    <w:p w:rsidR="00C870F9" w:rsidRDefault="00C870F9" w:rsidP="00C870F9"/>
    <w:p w:rsidR="00C870F9" w:rsidRDefault="00C870F9" w:rsidP="00C870F9"/>
    <w:p w:rsidR="00C870F9" w:rsidRDefault="00C870F9" w:rsidP="00C870F9"/>
    <w:p w:rsidR="00C870F9" w:rsidRDefault="00C870F9" w:rsidP="00C870F9">
      <w:pPr>
        <w:rPr>
          <w:rFonts w:hint="eastAsia"/>
        </w:rPr>
      </w:pPr>
    </w:p>
    <w:p w:rsidR="00C870F9" w:rsidRDefault="00C870F9" w:rsidP="00C870F9">
      <w:r>
        <w:rPr>
          <w:rStyle w:val="fontstyle01"/>
          <w:rFonts w:ascii="Times New Roman" w:hAnsi="Times New Roman" w:cs="Times New Roman"/>
        </w:rPr>
        <w:lastRenderedPageBreak/>
        <w:t>Supplemental</w:t>
      </w:r>
      <w:r>
        <w:rPr>
          <w:rFonts w:ascii="Times New Roman" w:eastAsia="Times New Roman" w:hAnsi="Times New Roman" w:cs="Times New Roman"/>
          <w:color w:val="000000"/>
          <w:sz w:val="20"/>
          <w:szCs w:val="20"/>
        </w:rPr>
        <w:t xml:space="preserve"> table 4.  Description of genes</w:t>
      </w:r>
      <w:r w:rsidRPr="00C870F9">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 xml:space="preserve">by </w:t>
      </w:r>
      <w:r>
        <w:rPr>
          <w:rStyle w:val="fontstyle01"/>
          <w:rFonts w:ascii="Times New Roman" w:hAnsi="Times New Roman" w:cs="Times New Roman"/>
          <w:b w:val="0"/>
          <w:bCs w:val="0"/>
        </w:rPr>
        <w:t>STRING database</w:t>
      </w:r>
      <w:r>
        <w:rPr>
          <w:rFonts w:ascii="Times New Roman" w:eastAsia="Times New Roman" w:hAnsi="Times New Roman" w:cs="Times New Roman"/>
          <w:color w:val="000000"/>
          <w:sz w:val="20"/>
          <w:szCs w:val="20"/>
        </w:rPr>
        <w:t xml:space="preserve"> in the cluster 4</w:t>
      </w:r>
    </w:p>
    <w:tbl>
      <w:tblPr>
        <w:tblW w:w="0" w:type="auto"/>
        <w:jc w:val="center"/>
        <w:tblLook w:val="04A0" w:firstRow="1" w:lastRow="0" w:firstColumn="1" w:lastColumn="0" w:noHBand="0" w:noVBand="1"/>
      </w:tblPr>
      <w:tblGrid>
        <w:gridCol w:w="555"/>
        <w:gridCol w:w="7751"/>
      </w:tblGrid>
      <w:tr w:rsidR="00C870F9" w:rsidRPr="00C870F9" w:rsidTr="00AF07E0">
        <w:trPr>
          <w:cantSplit/>
          <w:trHeight w:hRule="exact" w:val="368"/>
          <w:tblHeader/>
          <w:jc w:val="center"/>
        </w:trPr>
        <w:tc>
          <w:tcPr>
            <w:tcW w:w="0" w:type="auto"/>
            <w:tcBorders>
              <w:top w:val="single" w:sz="10" w:space="0" w:color="000000"/>
              <w:bottom w:val="single" w:sz="10" w:space="0" w:color="000000"/>
            </w:tcBorders>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b/>
                <w:color w:val="000000"/>
                <w:sz w:val="16"/>
                <w:szCs w:val="16"/>
              </w:rPr>
              <w:t>Protein</w:t>
            </w:r>
          </w:p>
        </w:tc>
        <w:tc>
          <w:tcPr>
            <w:tcW w:w="0" w:type="auto"/>
            <w:tcBorders>
              <w:top w:val="single" w:sz="10" w:space="0" w:color="000000"/>
              <w:bottom w:val="single" w:sz="10" w:space="0" w:color="000000"/>
            </w:tcBorders>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b/>
                <w:color w:val="000000"/>
                <w:sz w:val="16"/>
                <w:szCs w:val="16"/>
              </w:rPr>
              <w:t>Description</w:t>
            </w:r>
          </w:p>
        </w:tc>
      </w:tr>
      <w:tr w:rsidR="00C870F9" w:rsidRPr="00C870F9" w:rsidTr="00AF07E0">
        <w:trPr>
          <w:cantSplit/>
          <w:trHeight w:hRule="exact" w:val="2601"/>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H2AFY</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 xml:space="preserve">Medulloblastoma antigen MU-MB-50.205; Variant histone H2A which replaces conventional H2A in a subset of nucleosomes where it represses transcription. Nucleosomes wrap and compact DNA into chromatin, limiting DNA accessibility to the cellular machineries which require DNA as a template. Histones thereby play a central role in transcription regulation, DNA repair, DNA replication and chromosomal stability. DNA accessibility is regulated via a </w:t>
            </w:r>
            <w:bookmarkStart w:id="1" w:name="_GoBack"/>
            <w:bookmarkEnd w:id="1"/>
            <w:r w:rsidRPr="00C870F9">
              <w:rPr>
                <w:rFonts w:ascii="Times New Roman" w:eastAsia="Times New Roman" w:hAnsi="Times New Roman" w:cs="Times New Roman"/>
                <w:color w:val="000000"/>
                <w:sz w:val="16"/>
                <w:szCs w:val="16"/>
              </w:rPr>
              <w:t>complex set of post-translational modifications of histones, also called histone code, and nucleosome remodeling. Involved in stable X chromosome inactivation. Inhibits the binding of transcription factors, including NF-kappa-B, and interferes with the activity of remodeling SWI/SNF complexes. Inhibits histone acetylation by EP300 and recruits class I HDACs, which induces a hypoacetylated state of chromatin.</w:t>
            </w:r>
          </w:p>
        </w:tc>
      </w:tr>
      <w:tr w:rsidR="00C870F9" w:rsidRPr="00C870F9" w:rsidTr="00AF07E0">
        <w:trPr>
          <w:cantSplit/>
          <w:trHeight w:hRule="exact" w:val="686"/>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NEU1</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Sialidase 1 (lysosomal sialidase); Catalyzes the removal of sialic acid (N-acetylneuraminic acid) moities from glycoproteins and glycolipids. To be active, it is strictly dependent on its presence in the multienzyme complex. Appears to have a preference for alpha 2-3 and alpha 2-6 sialyl linkage.</w:t>
            </w:r>
          </w:p>
        </w:tc>
      </w:tr>
      <w:tr w:rsidR="00C870F9" w:rsidRPr="00C870F9" w:rsidTr="00AF07E0">
        <w:trPr>
          <w:cantSplit/>
          <w:trHeight w:hRule="exact" w:val="339"/>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IFI35</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Interferon-induced 35 kDa protein; Not yet known.</w:t>
            </w:r>
          </w:p>
        </w:tc>
      </w:tr>
      <w:tr w:rsidR="00C870F9" w:rsidRPr="00C870F9" w:rsidTr="00AF07E0">
        <w:trPr>
          <w:cantSplit/>
          <w:trHeight w:hRule="exact" w:val="1019"/>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PSME1</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Proteasome (prosome, macropain) activator subunit 1 (PA28 alpha); Implicated in immunoproteasome assembly and required for efficient antigen processing. The PA28 activator complex enhances the generation of class I binding peptides by altering the cleavage pattern of the proteasome.</w:t>
            </w:r>
          </w:p>
        </w:tc>
      </w:tr>
      <w:tr w:rsidR="00C870F9" w:rsidRPr="00C870F9" w:rsidTr="00AF07E0">
        <w:trPr>
          <w:cantSplit/>
          <w:trHeight w:hRule="exact" w:val="1019"/>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PSME2</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Proteasome (prosome, macropain) activator subunit 2 (PA28 beta); Implicated in immunoproteasome assembly and required for efficient antigen processing. The PA28 activator complex enhances the generation of class I binding peptides by altering the cleavage pattern of the proteasome.</w:t>
            </w:r>
          </w:p>
        </w:tc>
      </w:tr>
      <w:tr w:rsidR="00C870F9" w:rsidRPr="00C870F9" w:rsidTr="00AF07E0">
        <w:trPr>
          <w:cantSplit/>
          <w:trHeight w:hRule="exact" w:val="1292"/>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TBCB</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Cytoskeleton-associated protein CKAPI; Binds to alpha-tubulin folding intermediates after their interaction with cytosolic chaperonin in the pathway leading from newly synthesized tubulin to properly folded heterodimer. Involved in regulation of tubulin heterodimer dissociation. May function as a negative regulator of axonal growth (By similarity); Belongs to the TBCB family.</w:t>
            </w:r>
          </w:p>
        </w:tc>
      </w:tr>
      <w:tr w:rsidR="00C870F9" w:rsidRPr="00C870F9" w:rsidTr="00AF07E0">
        <w:trPr>
          <w:cantSplit/>
          <w:trHeight w:hRule="exact" w:val="1638"/>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CD74</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CD74 molecule, major histocompatibility complex, class II invariant chain; Plays a critical role in MHC class II antigen processing by stabilizing peptide-free class II alpha/beta heterodimers in a complex soon after their synthesis and directing transport of the complex from the endoplasmic reticulum to the endosomal/lysosomal system where the antigen processing and binding of antigenic peptides to MHC class II takes place. Serves as cell surface receptor for the cytokine MIF; CD molecules</w:t>
            </w:r>
          </w:p>
        </w:tc>
      </w:tr>
      <w:tr w:rsidR="00C870F9" w:rsidRPr="00C870F9" w:rsidTr="00AF07E0">
        <w:trPr>
          <w:cantSplit/>
          <w:trHeight w:hRule="exact" w:val="982"/>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SRI</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22 kDa protein; Calcium-binding protein that modulates excitation- contraction coupling in the heart. Contributes to calcium homeostasis in the heart sarcoplasmic reticulum. Modulates the activity of RYR2 calcium channels; EF-hand domain containing</w:t>
            </w:r>
          </w:p>
        </w:tc>
      </w:tr>
      <w:tr w:rsidR="00C870F9" w:rsidRPr="00C870F9" w:rsidTr="00AF07E0">
        <w:trPr>
          <w:cantSplit/>
          <w:trHeight w:hRule="exact" w:val="670"/>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HLA-E</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HLA class I histocompatibility antigen, alpha chain E; Preferably binds to a peptide derived from the signal sequence of most HLA-A, -B, -C and -G molecules; Belongs to the MHC class I family.</w:t>
            </w:r>
          </w:p>
        </w:tc>
      </w:tr>
      <w:tr w:rsidR="00C870F9" w:rsidRPr="00C870F9" w:rsidTr="00AF07E0">
        <w:trPr>
          <w:cantSplit/>
          <w:trHeight w:hRule="exact" w:val="652"/>
          <w:jc w:val="center"/>
        </w:trPr>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FKBP11</w:t>
            </w:r>
          </w:p>
        </w:tc>
        <w:tc>
          <w:tcPr>
            <w:tcW w:w="0" w:type="auto"/>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Peptidyl-prolyl cis-trans isomerase FKBP11; PPIases accelerate the folding of proteins during protein synthesis; FKBP prolyl isomerases</w:t>
            </w:r>
          </w:p>
        </w:tc>
      </w:tr>
      <w:tr w:rsidR="00C870F9" w:rsidRPr="00C870F9" w:rsidTr="00AF07E0">
        <w:trPr>
          <w:cantSplit/>
          <w:trHeight w:hRule="exact" w:val="932"/>
          <w:jc w:val="center"/>
        </w:trPr>
        <w:tc>
          <w:tcPr>
            <w:tcW w:w="0" w:type="auto"/>
            <w:tcBorders>
              <w:bottom w:val="single" w:sz="10" w:space="0" w:color="000000"/>
            </w:tcBorders>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GNG5</w:t>
            </w:r>
          </w:p>
        </w:tc>
        <w:tc>
          <w:tcPr>
            <w:tcW w:w="0" w:type="auto"/>
            <w:tcBorders>
              <w:bottom w:val="single" w:sz="10" w:space="0" w:color="000000"/>
            </w:tcBorders>
            <w:shd w:val="clear" w:color="auto" w:fill="FFFFFF"/>
            <w:tcMar>
              <w:top w:w="0" w:type="dxa"/>
              <w:left w:w="0" w:type="dxa"/>
              <w:bottom w:w="0" w:type="dxa"/>
              <w:right w:w="0" w:type="dxa"/>
            </w:tcMar>
            <w:vAlign w:val="center"/>
          </w:tcPr>
          <w:p w:rsidR="00C870F9" w:rsidRPr="00C870F9" w:rsidRDefault="00C870F9" w:rsidP="00FA6984">
            <w:pPr>
              <w:rPr>
                <w:sz w:val="16"/>
                <w:szCs w:val="16"/>
              </w:rPr>
            </w:pPr>
            <w:r w:rsidRPr="00C870F9">
              <w:rPr>
                <w:rFonts w:ascii="Times New Roman" w:eastAsia="Times New Roman" w:hAnsi="Times New Roman" w:cs="Times New Roman"/>
                <w:color w:val="000000"/>
                <w:sz w:val="16"/>
                <w:szCs w:val="16"/>
              </w:rPr>
              <w:t>Guanine nucleotide-binding protein G(I)/G(S)/G(O) subunit gamma-5; Guanine nucleotide-binding proteins (G proteins) are involved as a modulator or transducer in various transmembrane signaling systems. The beta and gamma chains are required for the GTPase activity, for replacement of GDP by GTP, and for G protein- effector interaction.</w:t>
            </w:r>
          </w:p>
        </w:tc>
      </w:tr>
    </w:tbl>
    <w:p w:rsidR="00C870F9" w:rsidRDefault="00C870F9">
      <w:pPr>
        <w:rPr>
          <w:rStyle w:val="fontstyle01"/>
          <w:rFonts w:ascii="Times New Roman" w:hAnsi="Times New Roman" w:cs="Times New Roman"/>
          <w:b w:val="0"/>
          <w:bCs w:val="0"/>
          <w:szCs w:val="21"/>
        </w:rPr>
      </w:pPr>
    </w:p>
    <w:p w:rsidR="00C870F9" w:rsidRDefault="00C870F9">
      <w:pPr>
        <w:widowControl/>
        <w:jc w:val="left"/>
        <w:rPr>
          <w:rStyle w:val="fontstyle01"/>
          <w:rFonts w:ascii="Times New Roman" w:hAnsi="Times New Roman" w:cs="Times New Roman"/>
          <w:b w:val="0"/>
          <w:bCs w:val="0"/>
          <w:szCs w:val="21"/>
        </w:rPr>
      </w:pPr>
      <w:r>
        <w:rPr>
          <w:rStyle w:val="fontstyle01"/>
          <w:rFonts w:ascii="Times New Roman" w:hAnsi="Times New Roman" w:cs="Times New Roman"/>
          <w:b w:val="0"/>
          <w:bCs w:val="0"/>
          <w:szCs w:val="21"/>
        </w:rPr>
        <w:br w:type="page"/>
      </w:r>
    </w:p>
    <w:p w:rsidR="00023E95" w:rsidRPr="00AF228C" w:rsidRDefault="00AF228C">
      <w:pPr>
        <w:rPr>
          <w:rFonts w:ascii="Times New Roman" w:hAnsi="Times New Roman" w:cs="Times New Roman"/>
          <w:szCs w:val="21"/>
        </w:rPr>
      </w:pPr>
      <w:r w:rsidRPr="00AF228C">
        <w:rPr>
          <w:rStyle w:val="fontstyle01"/>
          <w:rFonts w:ascii="Times New Roman" w:hAnsi="Times New Roman" w:cs="Times New Roman"/>
          <w:b w:val="0"/>
          <w:bCs w:val="0"/>
          <w:szCs w:val="21"/>
        </w:rPr>
        <w:lastRenderedPageBreak/>
        <w:t xml:space="preserve">Supplemental </w:t>
      </w:r>
      <w:r w:rsidRPr="00AF228C">
        <w:rPr>
          <w:rFonts w:ascii="Times New Roman" w:hAnsi="Times New Roman" w:cs="Times New Roman"/>
          <w:szCs w:val="21"/>
        </w:rPr>
        <w:t>Figure</w:t>
      </w:r>
      <w:r w:rsidRPr="00AF228C">
        <w:rPr>
          <w:rFonts w:ascii="Times New Roman" w:hAnsi="Times New Roman" w:cs="Times New Roman"/>
          <w:szCs w:val="21"/>
        </w:rPr>
        <w:t>s</w:t>
      </w:r>
    </w:p>
    <w:p w:rsidR="00AF228C" w:rsidRDefault="00AF228C">
      <w:pPr>
        <w:rPr>
          <w:rFonts w:ascii="Times New Roman" w:hAnsi="Times New Roman" w:cs="Times New Roman"/>
          <w:szCs w:val="21"/>
        </w:rPr>
      </w:pPr>
    </w:p>
    <w:p w:rsidR="00AF228C" w:rsidRPr="002926E1" w:rsidRDefault="00572863" w:rsidP="00AF228C">
      <w:pPr>
        <w:rPr>
          <w:rFonts w:ascii="Times New Roman" w:hAnsi="Times New Roman" w:cs="Times New Roman"/>
          <w:szCs w:val="21"/>
        </w:rPr>
      </w:pPr>
      <w:r>
        <w:rPr>
          <w:rFonts w:ascii="Times New Roman" w:hAnsi="Times New Roman" w:cs="Times New Roman"/>
          <w:noProof/>
          <w:szCs w:val="21"/>
        </w:rPr>
        <w:drawing>
          <wp:inline distT="0" distB="0" distL="0" distR="0">
            <wp:extent cx="5270500" cy="3378200"/>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70500" cy="3378200"/>
                    </a:xfrm>
                    <a:prstGeom prst="rect">
                      <a:avLst/>
                    </a:prstGeom>
                    <a:noFill/>
                    <a:ln>
                      <a:noFill/>
                    </a:ln>
                  </pic:spPr>
                </pic:pic>
              </a:graphicData>
            </a:graphic>
          </wp:inline>
        </w:drawing>
      </w:r>
    </w:p>
    <w:p w:rsidR="00AF228C" w:rsidRPr="00572863" w:rsidRDefault="00AF228C" w:rsidP="00AF228C">
      <w:pPr>
        <w:rPr>
          <w:rFonts w:ascii="Times New Roman" w:hAnsi="Times New Roman" w:cs="Times New Roman"/>
          <w:sz w:val="18"/>
          <w:szCs w:val="18"/>
        </w:rPr>
      </w:pPr>
      <w:r w:rsidRPr="00572863">
        <w:rPr>
          <w:rStyle w:val="fontstyle01"/>
          <w:rFonts w:ascii="Times New Roman" w:hAnsi="Times New Roman" w:cs="Times New Roman"/>
          <w:b w:val="0"/>
          <w:bCs w:val="0"/>
          <w:sz w:val="18"/>
          <w:szCs w:val="18"/>
        </w:rPr>
        <w:t xml:space="preserve">Supplemental </w:t>
      </w:r>
      <w:r w:rsidRPr="00572863">
        <w:rPr>
          <w:rFonts w:ascii="Times New Roman" w:hAnsi="Times New Roman" w:cs="Times New Roman"/>
          <w:sz w:val="18"/>
          <w:szCs w:val="18"/>
        </w:rPr>
        <w:t xml:space="preserve">Figure 1. Volcano plot of select genes present in </w:t>
      </w:r>
      <w:r w:rsidRPr="00572863">
        <w:rPr>
          <w:rFonts w:ascii="Times New Roman" w:eastAsia="宋体" w:hAnsi="Times New Roman" w:cs="Times New Roman"/>
          <w:sz w:val="18"/>
          <w:szCs w:val="18"/>
        </w:rPr>
        <w:t xml:space="preserve">the </w:t>
      </w:r>
      <w:r w:rsidRPr="00572863">
        <w:rPr>
          <w:rFonts w:ascii="Times New Roman" w:hAnsi="Times New Roman" w:cs="Times New Roman"/>
          <w:sz w:val="18"/>
          <w:szCs w:val="18"/>
        </w:rPr>
        <w:t xml:space="preserve">microarray comparison between IgAN patients and living donors. A positive </w:t>
      </w:r>
      <w:r w:rsidRPr="00572863">
        <w:rPr>
          <w:rFonts w:ascii="Times New Roman" w:eastAsia="宋体" w:hAnsi="Times New Roman" w:cs="Times New Roman"/>
          <w:sz w:val="18"/>
          <w:szCs w:val="18"/>
        </w:rPr>
        <w:t>fold change</w:t>
      </w:r>
      <w:r w:rsidRPr="00572863">
        <w:rPr>
          <w:rFonts w:ascii="Times New Roman" w:hAnsi="Times New Roman" w:cs="Times New Roman"/>
          <w:sz w:val="18"/>
          <w:szCs w:val="18"/>
        </w:rPr>
        <w:t xml:space="preserve"> (log2 FC &gt; 0) indicates </w:t>
      </w:r>
      <w:r w:rsidRPr="00572863">
        <w:rPr>
          <w:rFonts w:ascii="Times New Roman" w:eastAsia="宋体" w:hAnsi="Times New Roman" w:cs="Times New Roman"/>
          <w:sz w:val="18"/>
          <w:szCs w:val="18"/>
        </w:rPr>
        <w:t>upregulation</w:t>
      </w:r>
      <w:r w:rsidRPr="00572863">
        <w:rPr>
          <w:rFonts w:ascii="Times New Roman" w:hAnsi="Times New Roman" w:cs="Times New Roman"/>
          <w:sz w:val="18"/>
          <w:szCs w:val="18"/>
        </w:rPr>
        <w:t xml:space="preserve"> in renal tubulointerstitial tissue of IgAN patients, while a negative fold change (log2 FC &lt; 0) indicates </w:t>
      </w:r>
      <w:r w:rsidRPr="00572863">
        <w:rPr>
          <w:rFonts w:ascii="Times New Roman" w:eastAsia="宋体" w:hAnsi="Times New Roman" w:cs="Times New Roman"/>
          <w:sz w:val="18"/>
          <w:szCs w:val="18"/>
        </w:rPr>
        <w:t>downregulation. The</w:t>
      </w:r>
      <w:r w:rsidRPr="00572863">
        <w:rPr>
          <w:rFonts w:ascii="Times New Roman" w:hAnsi="Times New Roman" w:cs="Times New Roman"/>
          <w:sz w:val="18"/>
          <w:szCs w:val="18"/>
        </w:rPr>
        <w:t xml:space="preserve"> X axis shows </w:t>
      </w:r>
      <w:r w:rsidRPr="00572863">
        <w:rPr>
          <w:rFonts w:ascii="Times New Roman" w:eastAsia="宋体" w:hAnsi="Times New Roman" w:cs="Times New Roman"/>
          <w:sz w:val="18"/>
          <w:szCs w:val="18"/>
        </w:rPr>
        <w:t xml:space="preserve">the </w:t>
      </w:r>
      <w:r w:rsidRPr="00572863">
        <w:rPr>
          <w:rFonts w:ascii="Times New Roman" w:hAnsi="Times New Roman" w:cs="Times New Roman"/>
          <w:sz w:val="18"/>
          <w:szCs w:val="18"/>
        </w:rPr>
        <w:t xml:space="preserve">log2 FC level, </w:t>
      </w:r>
      <w:r w:rsidRPr="00572863">
        <w:rPr>
          <w:rFonts w:ascii="Times New Roman" w:eastAsia="宋体" w:hAnsi="Times New Roman" w:cs="Times New Roman"/>
          <w:sz w:val="18"/>
          <w:szCs w:val="18"/>
        </w:rPr>
        <w:t xml:space="preserve">and the </w:t>
      </w:r>
      <w:r w:rsidRPr="00572863">
        <w:rPr>
          <w:rFonts w:ascii="Times New Roman" w:hAnsi="Times New Roman" w:cs="Times New Roman"/>
          <w:sz w:val="18"/>
          <w:szCs w:val="18"/>
        </w:rPr>
        <w:t>Y axis shows</w:t>
      </w:r>
      <w:r w:rsidRPr="00572863">
        <w:rPr>
          <w:rFonts w:ascii="Times New Roman" w:eastAsia="宋体" w:hAnsi="Times New Roman" w:cs="Times New Roman"/>
          <w:sz w:val="18"/>
          <w:szCs w:val="18"/>
        </w:rPr>
        <w:t xml:space="preserve"> the</w:t>
      </w:r>
      <w:r w:rsidRPr="00572863">
        <w:rPr>
          <w:rFonts w:ascii="Times New Roman" w:hAnsi="Times New Roman" w:cs="Times New Roman"/>
          <w:sz w:val="18"/>
          <w:szCs w:val="18"/>
        </w:rPr>
        <w:t xml:space="preserve"> adjusted p values (-log 10). Red and blue points </w:t>
      </w:r>
      <w:r w:rsidRPr="00572863">
        <w:rPr>
          <w:rFonts w:ascii="Times New Roman" w:eastAsia="宋体" w:hAnsi="Times New Roman" w:cs="Times New Roman"/>
          <w:sz w:val="18"/>
          <w:szCs w:val="18"/>
        </w:rPr>
        <w:t>indicate</w:t>
      </w:r>
      <w:r w:rsidRPr="00572863">
        <w:rPr>
          <w:rFonts w:ascii="Times New Roman" w:hAnsi="Times New Roman" w:cs="Times New Roman"/>
          <w:sz w:val="18"/>
          <w:szCs w:val="18"/>
        </w:rPr>
        <w:t xml:space="preserve"> significant DEGs.</w:t>
      </w:r>
    </w:p>
    <w:p w:rsidR="00AF228C" w:rsidRDefault="00AF228C" w:rsidP="00AF228C">
      <w:pPr>
        <w:rPr>
          <w:rFonts w:ascii="Times New Roman" w:hAnsi="Times New Roman" w:cs="Times New Roman"/>
          <w:szCs w:val="21"/>
        </w:rPr>
      </w:pPr>
    </w:p>
    <w:p w:rsidR="004F1D29" w:rsidRDefault="00572863" w:rsidP="00AF228C">
      <w:pPr>
        <w:rPr>
          <w:rFonts w:ascii="Times New Roman" w:hAnsi="Times New Roman" w:cs="Times New Roman"/>
          <w:szCs w:val="21"/>
        </w:rPr>
      </w:pPr>
      <w:r>
        <w:rPr>
          <w:rFonts w:ascii="Times New Roman" w:hAnsi="Times New Roman" w:cs="Times New Roman"/>
          <w:noProof/>
          <w:szCs w:val="21"/>
        </w:rPr>
        <w:drawing>
          <wp:inline distT="0" distB="0" distL="0" distR="0">
            <wp:extent cx="5270500" cy="2889250"/>
            <wp:effectExtent l="0" t="0" r="635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0500" cy="2889250"/>
                    </a:xfrm>
                    <a:prstGeom prst="rect">
                      <a:avLst/>
                    </a:prstGeom>
                    <a:noFill/>
                    <a:ln>
                      <a:noFill/>
                    </a:ln>
                  </pic:spPr>
                </pic:pic>
              </a:graphicData>
            </a:graphic>
          </wp:inline>
        </w:drawing>
      </w:r>
    </w:p>
    <w:p w:rsidR="00AF228C" w:rsidRPr="00572863" w:rsidRDefault="00AF228C" w:rsidP="00AF228C">
      <w:pPr>
        <w:rPr>
          <w:rFonts w:ascii="Times New Roman" w:hAnsi="Times New Roman" w:cs="Times New Roman"/>
          <w:sz w:val="18"/>
          <w:szCs w:val="18"/>
        </w:rPr>
      </w:pPr>
      <w:r w:rsidRPr="00572863">
        <w:rPr>
          <w:rStyle w:val="fontstyle01"/>
          <w:rFonts w:ascii="Times New Roman" w:hAnsi="Times New Roman" w:cs="Times New Roman"/>
          <w:b w:val="0"/>
          <w:bCs w:val="0"/>
          <w:sz w:val="18"/>
          <w:szCs w:val="18"/>
        </w:rPr>
        <w:t xml:space="preserve">Supplemental </w:t>
      </w:r>
      <w:r w:rsidRPr="00572863">
        <w:rPr>
          <w:rFonts w:ascii="Times New Roman" w:hAnsi="Times New Roman" w:cs="Times New Roman"/>
          <w:sz w:val="18"/>
          <w:szCs w:val="18"/>
        </w:rPr>
        <w:t>Figure 2. Hierarchical clustering dendrogram of module eigengenes and heat maps of module-trait correlations. Red indicates a positive correlation, blue a negative correlation, and Pearson's R for significant correlations (P &lt; 0.05) are reported.</w:t>
      </w:r>
    </w:p>
    <w:p w:rsidR="00AF228C" w:rsidRPr="00572863" w:rsidRDefault="00AF228C" w:rsidP="00AF228C">
      <w:pPr>
        <w:rPr>
          <w:rFonts w:ascii="Times New Roman" w:hAnsi="Times New Roman" w:cs="Times New Roman"/>
          <w:sz w:val="18"/>
          <w:szCs w:val="18"/>
        </w:rPr>
      </w:pPr>
    </w:p>
    <w:p w:rsidR="00AF228C" w:rsidRPr="00572863" w:rsidRDefault="00572863" w:rsidP="00AF228C">
      <w:pPr>
        <w:rPr>
          <w:rFonts w:ascii="Times New Roman" w:hAnsi="Times New Roman" w:cs="Times New Roman"/>
          <w:szCs w:val="21"/>
        </w:rPr>
      </w:pPr>
      <w:r>
        <w:rPr>
          <w:rFonts w:ascii="Times New Roman" w:hAnsi="Times New Roman" w:cs="Times New Roman"/>
          <w:noProof/>
          <w:sz w:val="18"/>
          <w:szCs w:val="18"/>
        </w:rPr>
        <w:lastRenderedPageBreak/>
        <w:drawing>
          <wp:inline distT="0" distB="0" distL="0" distR="0" wp14:anchorId="23C7C899" wp14:editId="42675C64">
            <wp:extent cx="5270500" cy="5480050"/>
            <wp:effectExtent l="0" t="0" r="635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0500" cy="5480050"/>
                    </a:xfrm>
                    <a:prstGeom prst="rect">
                      <a:avLst/>
                    </a:prstGeom>
                    <a:noFill/>
                    <a:ln>
                      <a:noFill/>
                    </a:ln>
                  </pic:spPr>
                </pic:pic>
              </a:graphicData>
            </a:graphic>
          </wp:inline>
        </w:drawing>
      </w:r>
    </w:p>
    <w:p w:rsidR="00AF228C" w:rsidRPr="00572863" w:rsidRDefault="00AF228C" w:rsidP="00AF228C">
      <w:pPr>
        <w:rPr>
          <w:rFonts w:ascii="Times New Roman" w:hAnsi="Times New Roman" w:cs="Times New Roman"/>
          <w:sz w:val="18"/>
          <w:szCs w:val="18"/>
        </w:rPr>
      </w:pPr>
      <w:r w:rsidRPr="00572863">
        <w:rPr>
          <w:rStyle w:val="fontstyle01"/>
          <w:rFonts w:ascii="Times New Roman" w:hAnsi="Times New Roman" w:cs="Times New Roman"/>
          <w:b w:val="0"/>
          <w:bCs w:val="0"/>
          <w:sz w:val="18"/>
          <w:szCs w:val="18"/>
        </w:rPr>
        <w:t>Supplemental</w:t>
      </w:r>
      <w:r w:rsidRPr="00572863">
        <w:rPr>
          <w:rFonts w:ascii="Times New Roman" w:hAnsi="Times New Roman" w:cs="Times New Roman"/>
          <w:b/>
          <w:bCs/>
          <w:sz w:val="18"/>
          <w:szCs w:val="18"/>
        </w:rPr>
        <w:t xml:space="preserve"> </w:t>
      </w:r>
      <w:r w:rsidRPr="00572863">
        <w:rPr>
          <w:rFonts w:ascii="Times New Roman" w:hAnsi="Times New Roman" w:cs="Times New Roman"/>
          <w:sz w:val="18"/>
          <w:szCs w:val="18"/>
        </w:rPr>
        <w:t xml:space="preserve">Figure 3. PPI network of genes within cluster 4. Gray nodes connected by red edges </w:t>
      </w:r>
      <w:r w:rsidRPr="00572863">
        <w:rPr>
          <w:rFonts w:ascii="Times New Roman" w:eastAsia="宋体" w:hAnsi="Times New Roman" w:cs="Times New Roman"/>
          <w:sz w:val="18"/>
          <w:szCs w:val="18"/>
        </w:rPr>
        <w:t>indicate</w:t>
      </w:r>
      <w:r w:rsidRPr="00572863">
        <w:rPr>
          <w:rFonts w:ascii="Times New Roman" w:hAnsi="Times New Roman" w:cs="Times New Roman"/>
          <w:sz w:val="18"/>
          <w:szCs w:val="18"/>
        </w:rPr>
        <w:t xml:space="preserve"> </w:t>
      </w:r>
      <w:r w:rsidRPr="00572863">
        <w:rPr>
          <w:rFonts w:ascii="Times New Roman" w:hAnsi="Times New Roman" w:cs="Times New Roman" w:hint="eastAsia"/>
          <w:sz w:val="18"/>
          <w:szCs w:val="18"/>
        </w:rPr>
        <w:t>genes</w:t>
      </w:r>
      <w:r w:rsidRPr="00572863">
        <w:rPr>
          <w:rFonts w:ascii="Times New Roman" w:hAnsi="Times New Roman" w:cs="Times New Roman"/>
          <w:sz w:val="18"/>
          <w:szCs w:val="18"/>
        </w:rPr>
        <w:t xml:space="preserve"> with confirmed </w:t>
      </w:r>
      <w:r w:rsidRPr="00572863">
        <w:rPr>
          <w:rFonts w:ascii="Times New Roman" w:eastAsia="宋体" w:hAnsi="Times New Roman" w:cs="Times New Roman"/>
          <w:sz w:val="18"/>
          <w:szCs w:val="18"/>
        </w:rPr>
        <w:t>connections</w:t>
      </w:r>
      <w:r w:rsidRPr="00572863">
        <w:rPr>
          <w:rFonts w:ascii="Times New Roman" w:hAnsi="Times New Roman" w:cs="Times New Roman"/>
          <w:sz w:val="18"/>
          <w:szCs w:val="18"/>
        </w:rPr>
        <w:t xml:space="preserve"> in the STRING database. Nodes connected by blue edges </w:t>
      </w:r>
      <w:r w:rsidRPr="00572863">
        <w:rPr>
          <w:rFonts w:ascii="Times New Roman" w:eastAsia="宋体" w:hAnsi="Times New Roman" w:cs="Times New Roman"/>
          <w:sz w:val="18"/>
          <w:szCs w:val="18"/>
        </w:rPr>
        <w:t>indicate</w:t>
      </w:r>
      <w:r w:rsidRPr="00572863">
        <w:rPr>
          <w:rFonts w:ascii="Times New Roman" w:hAnsi="Times New Roman" w:cs="Times New Roman"/>
          <w:sz w:val="18"/>
          <w:szCs w:val="18"/>
        </w:rPr>
        <w:t xml:space="preserve"> genes with high topological overlap from WGCNA.</w:t>
      </w:r>
    </w:p>
    <w:p w:rsidR="00AF228C" w:rsidRPr="002926E1" w:rsidRDefault="00AF228C" w:rsidP="00AF228C">
      <w:pPr>
        <w:rPr>
          <w:rFonts w:ascii="Times New Roman" w:hAnsi="Times New Roman" w:cs="Times New Roman"/>
          <w:szCs w:val="21"/>
        </w:rPr>
      </w:pPr>
    </w:p>
    <w:p w:rsidR="00AF228C" w:rsidRPr="002926E1" w:rsidRDefault="00572863" w:rsidP="00AF228C">
      <w:pPr>
        <w:rPr>
          <w:rFonts w:ascii="Times New Roman" w:hAnsi="Times New Roman" w:cs="Times New Roman"/>
          <w:szCs w:val="21"/>
        </w:rPr>
      </w:pPr>
      <w:bookmarkStart w:id="2" w:name="OLE_LINK5"/>
      <w:bookmarkStart w:id="3" w:name="OLE_LINK6"/>
      <w:r>
        <w:rPr>
          <w:rFonts w:ascii="Times New Roman" w:hAnsi="Times New Roman" w:cs="Times New Roman"/>
          <w:noProof/>
          <w:sz w:val="18"/>
          <w:szCs w:val="18"/>
        </w:rPr>
        <w:lastRenderedPageBreak/>
        <w:drawing>
          <wp:inline distT="0" distB="0" distL="0" distR="0" wp14:anchorId="247D70D3" wp14:editId="7B5E2258">
            <wp:extent cx="5264150" cy="29718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64150" cy="2971800"/>
                    </a:xfrm>
                    <a:prstGeom prst="rect">
                      <a:avLst/>
                    </a:prstGeom>
                    <a:noFill/>
                    <a:ln>
                      <a:noFill/>
                    </a:ln>
                  </pic:spPr>
                </pic:pic>
              </a:graphicData>
            </a:graphic>
          </wp:inline>
        </w:drawing>
      </w:r>
    </w:p>
    <w:bookmarkEnd w:id="2"/>
    <w:bookmarkEnd w:id="3"/>
    <w:p w:rsidR="00AF228C" w:rsidRPr="00572863" w:rsidRDefault="00AF228C" w:rsidP="00AF228C">
      <w:pPr>
        <w:rPr>
          <w:rFonts w:ascii="Times New Roman" w:hAnsi="Times New Roman" w:cs="Times New Roman"/>
          <w:sz w:val="18"/>
          <w:szCs w:val="18"/>
        </w:rPr>
      </w:pPr>
      <w:r w:rsidRPr="00572863">
        <w:rPr>
          <w:rStyle w:val="fontstyle01"/>
          <w:rFonts w:ascii="Times New Roman" w:hAnsi="Times New Roman" w:cs="Times New Roman"/>
          <w:b w:val="0"/>
          <w:bCs w:val="0"/>
          <w:sz w:val="18"/>
          <w:szCs w:val="18"/>
        </w:rPr>
        <w:t>Supplemental</w:t>
      </w:r>
      <w:r w:rsidRPr="00572863">
        <w:rPr>
          <w:rFonts w:ascii="Times New Roman" w:hAnsi="Times New Roman" w:cs="Times New Roman"/>
          <w:b/>
          <w:bCs/>
          <w:sz w:val="18"/>
          <w:szCs w:val="18"/>
        </w:rPr>
        <w:t xml:space="preserve"> </w:t>
      </w:r>
      <w:r w:rsidRPr="00572863">
        <w:rPr>
          <w:rFonts w:ascii="Times New Roman" w:hAnsi="Times New Roman" w:cs="Times New Roman"/>
          <w:sz w:val="18"/>
          <w:szCs w:val="18"/>
        </w:rPr>
        <w:t xml:space="preserve">Figure </w:t>
      </w:r>
      <w:r w:rsidR="00572863">
        <w:rPr>
          <w:rFonts w:ascii="Times New Roman" w:hAnsi="Times New Roman" w:cs="Times New Roman" w:hint="eastAsia"/>
          <w:sz w:val="18"/>
          <w:szCs w:val="18"/>
        </w:rPr>
        <w:t>4</w:t>
      </w:r>
      <w:r w:rsidRPr="00572863">
        <w:rPr>
          <w:rFonts w:ascii="Times New Roman" w:hAnsi="Times New Roman" w:cs="Times New Roman"/>
          <w:sz w:val="18"/>
          <w:szCs w:val="18"/>
        </w:rPr>
        <w:t xml:space="preserve">. GO </w:t>
      </w:r>
      <w:r w:rsidRPr="00572863">
        <w:rPr>
          <w:rFonts w:ascii="Times New Roman" w:hAnsi="Times New Roman" w:cs="Times New Roman" w:hint="eastAsia"/>
          <w:sz w:val="18"/>
          <w:szCs w:val="18"/>
        </w:rPr>
        <w:t>ter</w:t>
      </w:r>
      <w:r w:rsidRPr="00572863">
        <w:rPr>
          <w:rFonts w:ascii="Times New Roman" w:hAnsi="Times New Roman" w:cs="Times New Roman"/>
          <w:sz w:val="18"/>
          <w:szCs w:val="18"/>
        </w:rPr>
        <w:t xml:space="preserve">ms and KEGG pathway enrichment analysis for </w:t>
      </w:r>
      <w:r w:rsidRPr="00572863">
        <w:rPr>
          <w:rFonts w:ascii="Times New Roman" w:eastAsia="宋体" w:hAnsi="Times New Roman" w:cs="Times New Roman"/>
          <w:sz w:val="18"/>
          <w:szCs w:val="18"/>
        </w:rPr>
        <w:t xml:space="preserve">the </w:t>
      </w:r>
      <w:r w:rsidRPr="00572863">
        <w:rPr>
          <w:rFonts w:ascii="Times New Roman" w:hAnsi="Times New Roman" w:cs="Times New Roman"/>
          <w:sz w:val="18"/>
          <w:szCs w:val="18"/>
        </w:rPr>
        <w:t xml:space="preserve">cluster of pink </w:t>
      </w:r>
      <w:r w:rsidRPr="00572863">
        <w:rPr>
          <w:rFonts w:ascii="Times New Roman" w:eastAsia="宋体" w:hAnsi="Times New Roman" w:cs="Times New Roman"/>
          <w:sz w:val="18"/>
          <w:szCs w:val="18"/>
        </w:rPr>
        <w:t>modules</w:t>
      </w:r>
      <w:r w:rsidRPr="00572863">
        <w:rPr>
          <w:rFonts w:ascii="Times New Roman" w:hAnsi="Times New Roman" w:cs="Times New Roman"/>
          <w:sz w:val="18"/>
          <w:szCs w:val="18"/>
        </w:rPr>
        <w:t xml:space="preserve"> from </w:t>
      </w:r>
      <w:r w:rsidRPr="00572863">
        <w:rPr>
          <w:rFonts w:ascii="Times New Roman" w:hAnsi="Times New Roman" w:cs="Times New Roman" w:hint="eastAsia"/>
          <w:sz w:val="18"/>
          <w:szCs w:val="18"/>
        </w:rPr>
        <w:t>WGCNA</w:t>
      </w:r>
      <w:r w:rsidRPr="00572863">
        <w:rPr>
          <w:rFonts w:ascii="Times New Roman" w:hAnsi="Times New Roman" w:cs="Times New Roman"/>
          <w:sz w:val="18"/>
          <w:szCs w:val="18"/>
        </w:rPr>
        <w:t>. The size of the bubbles indicates the value of -log</w:t>
      </w:r>
      <w:r w:rsidRPr="00572863">
        <w:rPr>
          <w:rFonts w:ascii="Times New Roman" w:hAnsi="Times New Roman" w:cs="Times New Roman"/>
          <w:sz w:val="18"/>
          <w:szCs w:val="18"/>
          <w:vertAlign w:val="subscript"/>
        </w:rPr>
        <w:t>10</w:t>
      </w:r>
      <w:r w:rsidRPr="00572863">
        <w:rPr>
          <w:rFonts w:ascii="Times New Roman" w:hAnsi="Times New Roman" w:cs="Times New Roman"/>
          <w:sz w:val="18"/>
          <w:szCs w:val="18"/>
        </w:rPr>
        <w:t>(FDR).</w:t>
      </w:r>
    </w:p>
    <w:p w:rsidR="00AF228C" w:rsidRPr="002926E1" w:rsidRDefault="00AF228C" w:rsidP="00AF228C">
      <w:pPr>
        <w:rPr>
          <w:rFonts w:ascii="Times New Roman" w:hAnsi="Times New Roman" w:cs="Times New Roman"/>
          <w:szCs w:val="21"/>
        </w:rPr>
      </w:pPr>
    </w:p>
    <w:p w:rsidR="00AF228C" w:rsidRPr="00AF228C" w:rsidRDefault="00AF228C">
      <w:pPr>
        <w:rPr>
          <w:rFonts w:hint="eastAsia"/>
        </w:rPr>
      </w:pPr>
    </w:p>
    <w:sectPr w:rsidR="00AF228C" w:rsidRPr="00AF228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28C"/>
    <w:rsid w:val="00023E95"/>
    <w:rsid w:val="000E39B8"/>
    <w:rsid w:val="004F1D29"/>
    <w:rsid w:val="0057101B"/>
    <w:rsid w:val="00572863"/>
    <w:rsid w:val="00876BAA"/>
    <w:rsid w:val="00AF07E0"/>
    <w:rsid w:val="00AF228C"/>
    <w:rsid w:val="00C870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88ADD"/>
  <w15:chartTrackingRefBased/>
  <w15:docId w15:val="{44D39CC3-36A3-4B78-9DAA-01263A784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AF228C"/>
    <w:rPr>
      <w:rFonts w:ascii="Times-Bold" w:hAnsi="Times-Bold" w:hint="default"/>
      <w:b/>
      <w:bCs/>
      <w:i w:val="0"/>
      <w:iCs w:val="0"/>
      <w:color w:val="24202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6</Pages>
  <Words>1831</Words>
  <Characters>10441</Characters>
  <Application>Microsoft Office Word</Application>
  <DocSecurity>0</DocSecurity>
  <Lines>87</Lines>
  <Paragraphs>24</Paragraphs>
  <ScaleCrop>false</ScaleCrop>
  <Company/>
  <LinksUpToDate>false</LinksUpToDate>
  <CharactersWithSpaces>12248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张zhji0426</dc:creator>
  <cp:keywords/>
  <dc:description/>
  <cp:lastModifiedBy>张zhji0426</cp:lastModifiedBy>
  <cp:revision>8</cp:revision>
  <dcterms:created xsi:type="dcterms:W3CDTF">2020-01-27T00:29:00Z</dcterms:created>
  <dcterms:modified xsi:type="dcterms:W3CDTF">2020-01-27T00:54:00Z</dcterms:modified>
</cp:coreProperties>
</file>